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ED" w:rsidRPr="002C5B8A" w:rsidRDefault="00987E1D" w:rsidP="00B53EED">
      <w:pPr>
        <w:widowControl/>
        <w:spacing w:before="240" w:after="240"/>
        <w:jc w:val="center"/>
        <w:rPr>
          <w:rFonts w:ascii="ＭＳ 明朝" w:eastAsia="ＭＳ 明朝" w:hAnsi="ＭＳ 明朝" w:cs="Segoe UI Semibold" w:hint="eastAsia"/>
          <w:bCs/>
          <w:color w:val="111111"/>
          <w:kern w:val="0"/>
          <w:sz w:val="24"/>
          <w:szCs w:val="36"/>
        </w:rPr>
      </w:pPr>
      <w:r w:rsidRPr="002C5B8A">
        <w:rPr>
          <w:rFonts w:ascii="ＭＳ 明朝" w:eastAsia="ＭＳ 明朝" w:hAnsi="ＭＳ 明朝" w:cs="Segoe UI Semibold" w:hint="eastAsia"/>
          <w:bCs/>
          <w:color w:val="111111"/>
          <w:kern w:val="0"/>
          <w:sz w:val="24"/>
          <w:szCs w:val="36"/>
        </w:rPr>
        <w:t>やまぐち・くらしの安心ネット設置</w:t>
      </w:r>
      <w:r w:rsidR="00B53EED">
        <w:rPr>
          <w:rFonts w:ascii="ＭＳ 明朝" w:eastAsia="ＭＳ 明朝" w:hAnsi="ＭＳ 明朝" w:cs="Segoe UI Semibold" w:hint="eastAsia"/>
          <w:bCs/>
          <w:color w:val="111111"/>
          <w:kern w:val="0"/>
          <w:sz w:val="24"/>
          <w:szCs w:val="36"/>
        </w:rPr>
        <w:t>要綱</w:t>
      </w:r>
      <w:bookmarkStart w:id="0" w:name="_GoBack"/>
      <w:bookmarkEnd w:id="0"/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（目的及び設置）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第1条　この要綱は、広域化、複雑化、多様化する消費者問題に対処するため、関係行政機関、福祉関係団体、消費者団体、教育機関等（以下「関係機関等」という。）が相互の連携を図りながら消費者被害の未然・拡大防止及び多重債務化防止を推進することにより、安心・安全な消費生活の実現をめざすことを目的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2　前項の目的を達成するため、関係機関等により「やまぐち・くらしの安心ネット」（以下「ネットワーク」という。）を設置する。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（活動内容）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第2条　ネットワークは、前条に定める目的を達成するために次に掲げる活動を行う。</w:t>
      </w:r>
    </w:p>
    <w:p w:rsidR="00987E1D" w:rsidRPr="00987E1D" w:rsidRDefault="00987E1D" w:rsidP="00987E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消費者問題の共通認識を図るための情報共有化に関する活動</w:t>
      </w:r>
    </w:p>
    <w:p w:rsidR="00987E1D" w:rsidRPr="00987E1D" w:rsidRDefault="00987E1D" w:rsidP="00987E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消費者の自立を支援するための広報や教育・啓発活動</w:t>
      </w:r>
    </w:p>
    <w:p w:rsidR="00987E1D" w:rsidRPr="00987E1D" w:rsidRDefault="00987E1D" w:rsidP="00987E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消費者被害の迅速な対応を図るための連携強化に関する活動</w:t>
      </w:r>
    </w:p>
    <w:p w:rsidR="00987E1D" w:rsidRPr="00987E1D" w:rsidRDefault="00987E1D" w:rsidP="00987E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その他ネットワークの目的を達成するために必要な活動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（構成機関）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第3条　ネットワークは、第1条第1項に定める目的に賛同し、第2条に定める活動に参画できる関係機関等をもって構成する。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（事務局）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第4条　ネットワークの運営に関する事務を処理するため、山口県環境生活部県民生活課消費生活センターに事務局を置く。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（参加）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第5条　ネットワークに参加しようとする機関は、別記様式1による参加登録票を事務局に提出する。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（登録の抹消）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第6条　ネットワークの参加登録を抹消しようとする機関は、別記様式2による登録抹消届を事務局に提出する。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lastRenderedPageBreak/>
        <w:t>（経費等）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第7条　ネットワークへの参加は無料とする。ただし、ネットワークの活動に参画するために必要な経費は各参加機関の負担とする。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（その他）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第8条　この要綱に定めのない事項については、山口県環境生活部県民生活課長が別に定める。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附則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>（施行期日）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 xml:space="preserve">　この要綱は、平成19年　9月　1日から施行する。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（施行期日）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 xml:space="preserve">　この要綱は、平成29年　1月　25日から施行する。</w:t>
      </w:r>
    </w:p>
    <w:p w:rsidR="00987E1D" w:rsidRPr="00987E1D" w:rsidRDefault="00987E1D" w:rsidP="00987E1D">
      <w:pPr>
        <w:widowControl/>
        <w:spacing w:before="240" w:after="240"/>
        <w:jc w:val="left"/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</w:pP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t>（施行期日）</w:t>
      </w:r>
      <w:r w:rsidRPr="00987E1D">
        <w:rPr>
          <w:rFonts w:ascii="ＭＳ 明朝" w:eastAsia="ＭＳ 明朝" w:hAnsi="ＭＳ 明朝" w:cs="Segoe UI"/>
          <w:color w:val="111111"/>
          <w:kern w:val="0"/>
          <w:sz w:val="24"/>
          <w:szCs w:val="24"/>
        </w:rPr>
        <w:br/>
        <w:t xml:space="preserve">　この要綱は、平成30年　7月　3日から施行する。</w:t>
      </w:r>
    </w:p>
    <w:p w:rsidR="00987E1D" w:rsidRPr="00987E1D" w:rsidRDefault="00987E1D">
      <w:pPr>
        <w:rPr>
          <w:rFonts w:ascii="ＭＳ 明朝" w:eastAsia="ＭＳ 明朝" w:hAnsi="ＭＳ 明朝"/>
        </w:rPr>
      </w:pPr>
    </w:p>
    <w:sectPr w:rsidR="00987E1D" w:rsidRPr="00987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0F1F"/>
    <w:multiLevelType w:val="multilevel"/>
    <w:tmpl w:val="A6A2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1D"/>
    <w:rsid w:val="002C5B8A"/>
    <w:rsid w:val="00987E1D"/>
    <w:rsid w:val="00B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D1952"/>
  <w15:chartTrackingRefBased/>
  <w15:docId w15:val="{62862324-4D81-428A-9BBB-29AD459E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7E1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87E1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mn0">
    <w:name w:val="mn0"/>
    <w:basedOn w:val="a"/>
    <w:rsid w:val="00987E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教史</dc:creator>
  <cp:keywords/>
  <dc:description/>
  <cp:lastModifiedBy>吉村　教史</cp:lastModifiedBy>
  <cp:revision>3</cp:revision>
  <dcterms:created xsi:type="dcterms:W3CDTF">2025-05-13T04:49:00Z</dcterms:created>
  <dcterms:modified xsi:type="dcterms:W3CDTF">2025-05-13T05:35:00Z</dcterms:modified>
</cp:coreProperties>
</file>